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58" w:rsidRPr="00950658" w:rsidRDefault="00950658" w:rsidP="00950658">
      <w:pPr>
        <w:shd w:val="clear" w:color="auto" w:fill="6C6E71"/>
        <w:spacing w:after="0" w:line="405" w:lineRule="atLeast"/>
        <w:ind w:right="3088"/>
        <w:jc w:val="center"/>
        <w:textAlignment w:val="baseline"/>
        <w:rPr>
          <w:rFonts w:ascii="inherit" w:eastAsia="Times New Roman" w:hAnsi="inherit" w:cs="Arial"/>
          <w:caps/>
          <w:color w:val="EEEFF1"/>
          <w:sz w:val="17"/>
          <w:szCs w:val="17"/>
          <w:lang w:eastAsia="ru-RU"/>
        </w:rPr>
      </w:pPr>
      <w:r w:rsidRPr="00950658">
        <w:rPr>
          <w:rFonts w:ascii="inherit" w:eastAsia="Times New Roman" w:hAnsi="inherit" w:cs="Arial"/>
          <w:caps/>
          <w:color w:val="EEEFF1"/>
          <w:sz w:val="96"/>
          <w:szCs w:val="96"/>
          <w:bdr w:val="none" w:sz="0" w:space="0" w:color="auto" w:frame="1"/>
          <w:lang w:eastAsia="ru-RU"/>
        </w:rPr>
        <w:t>СОЮЗНОЕ ВЕЧЕ</w:t>
      </w:r>
      <w:r w:rsidRPr="00950658">
        <w:rPr>
          <w:rFonts w:ascii="inherit" w:eastAsia="Times New Roman" w:hAnsi="inherit" w:cs="Arial"/>
          <w:caps/>
          <w:color w:val="EEEFF1"/>
          <w:sz w:val="17"/>
          <w:szCs w:val="17"/>
          <w:bdr w:val="none" w:sz="0" w:space="0" w:color="auto" w:frame="1"/>
          <w:lang w:eastAsia="ru-RU"/>
        </w:rPr>
        <w:br/>
        <w:t>ВЫХОДИТ ЕЖЕНЕДЕЛЬНО</w:t>
      </w:r>
      <w:r w:rsidRPr="00950658">
        <w:rPr>
          <w:rFonts w:ascii="inherit" w:eastAsia="Times New Roman" w:hAnsi="inherit" w:cs="Arial"/>
          <w:caps/>
          <w:color w:val="EEEFF1"/>
          <w:sz w:val="17"/>
          <w:szCs w:val="17"/>
          <w:lang w:eastAsia="ru-RU"/>
        </w:rPr>
        <w:t>ГАЗЕТА ПАРЛАМЕНТСКОГО СОБРАНИЯ СОЮЗА БЕЛАРУСИ И РОССИИ  </w:t>
      </w:r>
      <w:hyperlink r:id="rId6" w:history="1">
        <w:r w:rsidRPr="00950658">
          <w:rPr>
            <w:rFonts w:ascii="inherit" w:eastAsia="Times New Roman" w:hAnsi="inherit" w:cs="Arial"/>
            <w:caps/>
            <w:color w:val="EEEFF1"/>
            <w:sz w:val="17"/>
            <w:szCs w:val="17"/>
            <w:u w:val="single"/>
            <w:bdr w:val="none" w:sz="0" w:space="0" w:color="auto" w:frame="1"/>
            <w:lang w:eastAsia="ru-RU"/>
          </w:rPr>
          <w:t>WWW.SOUZVECHE.RU</w:t>
        </w:r>
      </w:hyperlink>
    </w:p>
    <w:p w:rsidR="00950658" w:rsidRPr="00950658" w:rsidRDefault="00950658" w:rsidP="00950658">
      <w:pPr>
        <w:spacing w:after="0" w:line="0" w:lineRule="auto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hyperlink r:id="rId7" w:tgtFrame="_blank" w:tooltip="RSS" w:history="1"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>RSS</w:t>
        </w:r>
        <w:proofErr w:type="gramStart"/>
      </w:hyperlink>
      <w:hyperlink r:id="rId8" w:tooltip="В закладки" w:history="1"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>закладки</w:t>
        </w:r>
      </w:hyperlink>
      <w:hyperlink r:id="rId9" w:tooltip="На главную" w:history="1"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>На</w:t>
        </w:r>
        <w:proofErr w:type="spellEnd"/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950658">
          <w:rPr>
            <w:rFonts w:ascii="inherit" w:eastAsia="Times New Roman" w:hAnsi="inherit" w:cs="Arial"/>
            <w:color w:val="3E3E3E"/>
            <w:sz w:val="2"/>
            <w:szCs w:val="2"/>
            <w:u w:val="single"/>
            <w:bdr w:val="none" w:sz="0" w:space="0" w:color="auto" w:frame="1"/>
            <w:lang w:eastAsia="ru-RU"/>
          </w:rPr>
          <w:t>главную</w:t>
        </w:r>
      </w:hyperlink>
      <w:r w:rsidRPr="00950658">
        <w:rPr>
          <w:rFonts w:ascii="inherit" w:eastAsia="Times New Roman" w:hAnsi="inherit" w:cs="Arial"/>
          <w:color w:val="3E3E3E"/>
          <w:sz w:val="18"/>
          <w:szCs w:val="18"/>
          <w:u w:val="single"/>
          <w:bdr w:val="none" w:sz="0" w:space="0" w:color="auto" w:frame="1"/>
          <w:lang w:eastAsia="ru-RU"/>
        </w:rPr>
        <w:t>Вход</w:t>
      </w:r>
      <w:proofErr w:type="spellEnd"/>
      <w:r w:rsidRPr="00950658">
        <w:rPr>
          <w:rFonts w:ascii="inherit" w:eastAsia="Times New Roman" w:hAnsi="inherit" w:cs="Arial"/>
          <w:color w:val="3E3E3E"/>
          <w:sz w:val="18"/>
          <w:szCs w:val="18"/>
          <w:u w:val="single"/>
          <w:bdr w:val="none" w:sz="0" w:space="0" w:color="auto" w:frame="1"/>
          <w:lang w:eastAsia="ru-RU"/>
        </w:rPr>
        <w:t xml:space="preserve"> для активных читателей</w:t>
      </w:r>
    </w:p>
    <w:tbl>
      <w:tblPr>
        <w:tblW w:w="11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8"/>
      </w:tblGrid>
      <w:tr w:rsidR="00950658" w:rsidRPr="00950658" w:rsidTr="00950658">
        <w:tc>
          <w:tcPr>
            <w:tcW w:w="113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0658" w:rsidRPr="00950658" w:rsidRDefault="00950658" w:rsidP="00950658">
            <w:pPr>
              <w:spacing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0" w:history="1">
              <w:r w:rsidRPr="0095065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версия для печати</w:t>
              </w:r>
            </w:hyperlink>
            <w:hyperlink r:id="rId11" w:anchor="comments" w:tooltip="Комментариев: 0" w:history="1">
              <w:r w:rsidRPr="0095065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(0)</w:t>
              </w:r>
            </w:hyperlink>
            <w:hyperlink r:id="rId12" w:history="1">
              <w:r w:rsidRPr="0095065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18 - 24 октября 2012 года</w:t>
              </w:r>
            </w:hyperlink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hyperlink r:id="rId13" w:history="1">
              <w:r w:rsidRPr="00950658">
                <w:rPr>
                  <w:rFonts w:ascii="inherit" w:eastAsia="Times New Roman" w:hAnsi="inherit" w:cs="Times New Roman"/>
                  <w:cap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ГЛАВНАЯ</w:t>
              </w:r>
            </w:hyperlink>
            <w:r w:rsidRPr="00950658">
              <w:rPr>
                <w:rFonts w:ascii="inherit" w:eastAsia="Times New Roman" w:hAnsi="inherit" w:cs="Times New Roman"/>
                <w:caps/>
                <w:sz w:val="21"/>
                <w:szCs w:val="21"/>
                <w:bdr w:val="none" w:sz="0" w:space="0" w:color="auto" w:frame="1"/>
                <w:lang w:eastAsia="ru-RU"/>
              </w:rPr>
              <w:t>/ </w:t>
            </w:r>
            <w:hyperlink r:id="rId14" w:history="1">
              <w:r w:rsidRPr="00950658">
                <w:rPr>
                  <w:rFonts w:ascii="inherit" w:eastAsia="Times New Roman" w:hAnsi="inherit" w:cs="Times New Roman"/>
                  <w:cap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ОБЩЕСТВО</w:t>
              </w:r>
            </w:hyperlink>
            <w:bookmarkStart w:id="0" w:name="_GoBack"/>
            <w:bookmarkEnd w:id="0"/>
          </w:p>
          <w:p w:rsidR="00950658" w:rsidRPr="00950658" w:rsidRDefault="00950658" w:rsidP="00950658">
            <w:pPr>
              <w:spacing w:after="150" w:line="240" w:lineRule="auto"/>
              <w:textAlignment w:val="baseline"/>
              <w:outlineLvl w:val="0"/>
              <w:rPr>
                <w:rFonts w:ascii="Georgia" w:eastAsia="Times New Roman" w:hAnsi="Georgia" w:cs="Times New Roman"/>
                <w:caps/>
                <w:color w:val="221E1F"/>
                <w:kern w:val="36"/>
                <w:sz w:val="66"/>
                <w:szCs w:val="66"/>
                <w:lang w:eastAsia="ru-RU"/>
              </w:rPr>
            </w:pPr>
            <w:r w:rsidRPr="00950658">
              <w:rPr>
                <w:rFonts w:ascii="Georgia" w:eastAsia="Times New Roman" w:hAnsi="Georgia" w:cs="Times New Roman"/>
                <w:caps/>
                <w:color w:val="221E1F"/>
                <w:kern w:val="36"/>
                <w:sz w:val="66"/>
                <w:szCs w:val="66"/>
                <w:lang w:eastAsia="ru-RU"/>
              </w:rPr>
              <w:t>РАСПИСАНИЕ НА ЗАВТРА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4395"/>
              <w:gridCol w:w="5103"/>
            </w:tblGrid>
            <w:tr w:rsidR="00950658" w:rsidRPr="00950658" w:rsidTr="00950658">
              <w:tc>
                <w:tcPr>
                  <w:tcW w:w="8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80" w:type="dxa"/>
                    <w:right w:w="240" w:type="dxa"/>
                  </w:tcMar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221E1F"/>
                      <w:sz w:val="27"/>
                      <w:szCs w:val="27"/>
                      <w:lang w:eastAsia="ru-RU"/>
                    </w:rPr>
                  </w:pPr>
                  <w:r w:rsidRPr="00950658">
                    <w:rPr>
                      <w:rFonts w:ascii="Georgia" w:eastAsia="Times New Roman" w:hAnsi="Georgia" w:cs="Times New Roman"/>
                      <w:color w:val="221E1F"/>
                      <w:sz w:val="27"/>
                      <w:szCs w:val="27"/>
                      <w:lang w:eastAsia="ru-RU"/>
                    </w:rPr>
                    <w:t>На постсоветском пространстве будет создана собственная система оценки качества образования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</w:p>
                <w:p w:rsid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</w:p>
                <w:p w:rsid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</w:p>
                <w:p w:rsid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</w:p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заместитель 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директора Национального центра тестирования Министерства образования</w:t>
                  </w:r>
                  <w:proofErr w:type="gram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и науки Республики Казахстан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Туракты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Интымаков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, начальник отдела Центра оценки и тестирования Министерства образования Республики Армения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Емил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Арутунян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, исполнительный секретарь Евразийской ассоциации оценки качества образования Игорь Окунев и другие.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</w:r>
                  <w:r w:rsidRPr="00950658"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  <w:t>Зачем изобретать тесты?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Первая мысль, которая возникает у не знакомого с проблемой слушателя: зачем создавать некую систему оценки качества, если можно воспользоваться результатами белорусского ЦТ или российского ЕГЭ?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И правда, в Беларуси централизованное тестирование сдают более 90 процентов выпускников</w:t>
                  </w:r>
                </w:p>
              </w:tc>
            </w:tr>
            <w:tr w:rsidR="00950658" w:rsidRPr="00950658" w:rsidTr="00950658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textAlignment w:val="baseline"/>
                    <w:outlineLvl w:val="2"/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  <w:t>Вы учились в хорошей школе? Ответить на этот вопрос не так просто, как кажется. До недавних пор о работе школы принято было судить по отчетам о «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  <w:t>поступаемости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  <w:t>» выпускников. Но о многих нюансах этот показатель не дает представления.</w:t>
                  </w:r>
                </w:p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– Понятие «хорошая школа» меняется в зависимости от того, кто задает этот вопрос, – замечает директор Российского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тренингового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центра Игорь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Вальдман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. – Ученику важны хорошие оценки, родителю – вопросы будущей карьеры ребенка, его здоровья и развития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… В</w:t>
                  </w:r>
                  <w:proofErr w:type="gram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мире считается, что хорошее образование – то, которое позволяет каждому ребенку обеспечить наилучшие стартовые условия для успеха в будущем.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Опыт различных стран в построении и развитии национальных систем оценки качества обсуждали 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семинаре</w:t>
                  </w:r>
                  <w:proofErr w:type="gram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в Минске педагоги, ученые и методисты из шести стран. 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Среди них – вице-президент РАО, академик РАО, доктор педагогических наук Виктор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Болотов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, директор Российского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тренингового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центра, заведующий лабораторией мониторинга качества образования Института управления образованием РАО, кандидат педагогических наук Игорь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Вальдман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, директор Национального института образования Министерства образования Республики Беларусь, доктор педагогических наук Геннадий Пальчик, директор Республиканского института контроля знаний Министерства образования Республики Беларусь, кандидат педагогических наук Николай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Феськов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, директор Национального центра тестирования</w:t>
                  </w:r>
                  <w:proofErr w:type="gram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Министерства образования и науки Кыргызской Республики Артур Бакиров,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50658" w:rsidRPr="00950658" w:rsidRDefault="00950658" w:rsidP="00950658">
            <w:pPr>
              <w:spacing w:after="4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95065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  <w:tbl>
            <w:tblPr>
              <w:tblW w:w="134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4678"/>
              <w:gridCol w:w="4820"/>
            </w:tblGrid>
            <w:tr w:rsidR="00950658" w:rsidRPr="00950658" w:rsidTr="00950658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общеобразовательной школы. В истории образования до ЦТ не было прецедентов, чтобы одинаковые задания в одинаковых условиях единовременно выполняли десятки тысяч молодых людей. Причем репутация у белорусского тестирования безупречная: за более чем 10 лет существования фактов утечки информации или 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lastRenderedPageBreak/>
                    <w:t>подтасовки результатов не обнаружено. Результаты ЦТ ежегодно оформляются в виде статистических сборников.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Российский ЕГЭ вообще сдают все школьники страны. Кажется, сравнивай баллы у выпускников Марьи Ивановны и Софьи Павловны, проводи параллель между результатами двух школ – и принимай административные решения.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– Нельзя управлять качеством образования, основываясь только на результатах ЕГЭ, без учета других показателей, – считает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lastRenderedPageBreak/>
                    <w:t xml:space="preserve">Виктор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Болотов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. – А это уровень образования родителей, развитость или неразвитость образовательной инфраструктуры... Бессмысленно сравнивать результаты школы в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наукограде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и школы в рабочем поселке.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Смысл статистического анализа результатов ЦТ и ЕГЭ – в возможности увидеть развитие системы 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lastRenderedPageBreak/>
                    <w:t xml:space="preserve">образования в динамике и заметить системные ошибки в построении учебных планов и программ. То есть, если большинство выпускников на централизованном тестировании по физике споткнулись на теме «Трение», Министерству образования стоит задуматься о внесении изменений в типовой учебный план. И если директор школы предпринимает некие шаги в русле повышения качества образования, сравнение результатов ЕГЭ за несколько лет позволит ему судить 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об</w:t>
                  </w:r>
                  <w:proofErr w:type="gramEnd"/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lastRenderedPageBreak/>
                    <w:t>эффективности нововведений.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Показательный факт: после введения ЦТ и ЕГЭ в вузах обеих стран значительно выросло количество студентов из сельской местности.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</w:r>
                  <w:r w:rsidRPr="00950658">
                    <w:rPr>
                      <w:rFonts w:ascii="inherit" w:eastAsia="Times New Roman" w:hAnsi="inherit" w:cs="Times New Roman"/>
                      <w:b/>
                      <w:bCs/>
                      <w:color w:val="221E1F"/>
                      <w:sz w:val="18"/>
                      <w:szCs w:val="18"/>
                      <w:lang w:eastAsia="ru-RU"/>
                    </w:rPr>
                    <w:t>Чтобы не было шока от PISA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Аналитикам от образования необходимы и другие 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lastRenderedPageBreak/>
                    <w:t>инструменты. Один из самых убедительных – международное исследование PISA, которое проводится Организацией экономического сотрудничества и развития трехлетними циклами. Весной 2012 года прошел пятый цикл, через год его результаты станут известны.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Исследование PISA направлено не на определение уровня освоения школьных программ, а на оценку способности 15-летних учащихся применять полученные в школе знания и</w:t>
                  </w:r>
                </w:p>
              </w:tc>
            </w:tr>
          </w:tbl>
          <w:p w:rsidR="00950658" w:rsidRPr="00950658" w:rsidRDefault="00950658" w:rsidP="00950658">
            <w:pPr>
              <w:spacing w:after="45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95065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</w:t>
            </w:r>
          </w:p>
          <w:tbl>
            <w:tblPr>
              <w:tblW w:w="136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4536"/>
              <w:gridCol w:w="5103"/>
            </w:tblGrid>
            <w:tr w:rsidR="00950658" w:rsidRPr="00950658" w:rsidTr="00950658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умения в жизненных ситуациях. В Беларуси подобные международные исследования не проводились. В 42 регионах России проводились, породив грустную шутку: «Наша система образования – самая лучшая в мире. Только за рубежом об этом никто не знает».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Результат, который до этого времени показывала Россия, можно расценить как ниже среднего: российские подростки не умеют брать из текстов необходимую информацию и правильно ее интерпретировать, им не хватает самостоятельности мышления.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Справедливости ради надо отметить, что оправдываться за результаты перед обществом приходится не только российским чиновникам: в 2003 году общественность Швеции предъявила претензии министру образования в том, что школьники этой страны выбыли из первой десятки </w:t>
                  </w:r>
                  <w:proofErr w:type="gram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математике, а в Японии члены правительства объяснялись с населением, когда японские дети ухудшили свои результаты по чтению.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Российские власти ныне стараются согласовывать свои шаги с результатами международных исследований. Виктор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Болотов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видит одной из обнажившихся таким образом проблем все увеличивающийся разрыв между сильными и слабыми школами. Слабые школы необходимо поддерживать и подтягивать, в Беларуси это тоже понимают. А еще – совершенствовать отбор абитуриентов на педагогические специальности, повышать престиж работы учителя и принимать иные меры, об эффективности которых можно будет судить по итогам единых независимых испытаний.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Министр образования Беларуси, доктор физико-математических наук Сергей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Маскевич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выразил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0658" w:rsidRPr="00950658" w:rsidRDefault="00950658" w:rsidP="00950658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</w:pP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основной вывод встречи: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 xml:space="preserve">– Принципиально важно сформировать единую систему оценки качества, которой мы будем доверять. Мы вышли с инициативой сформировать, может быть, в рамках СНГ или вначале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ЕврАзЭС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свою </w:t>
                  </w:r>
                  <w:proofErr w:type="spellStart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>аккредитационную</w:t>
                  </w:r>
                  <w:proofErr w:type="spellEnd"/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t xml:space="preserve"> компанию, которая сможет провести мониторинг достижений, сможет быть конкурентоспособной и стать для нас более значимой, чем другие международные рейтинговые агентства.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Министр высказал надежду, что после окончательной проработки предложений инициатива о создании такого агентства или компании будет вынесена на обсуждение на самом высоком уровне. </w:t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</w:r>
                  <w:r w:rsidRPr="00950658">
                    <w:rPr>
                      <w:rFonts w:ascii="inherit" w:eastAsia="Times New Roman" w:hAnsi="inherit" w:cs="Times New Roman"/>
                      <w:color w:val="221E1F"/>
                      <w:sz w:val="18"/>
                      <w:szCs w:val="18"/>
                      <w:lang w:eastAsia="ru-RU"/>
                    </w:rPr>
                    <w:br/>
                    <w:t>Ирина ДЕРГАЧ</w:t>
                  </w:r>
                </w:p>
              </w:tc>
            </w:tr>
          </w:tbl>
          <w:p w:rsidR="00950658" w:rsidRPr="00950658" w:rsidRDefault="00950658" w:rsidP="0095065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5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﻿</w:t>
            </w:r>
          </w:p>
        </w:tc>
      </w:tr>
    </w:tbl>
    <w:p w:rsidR="007C6FF3" w:rsidRDefault="007C6FF3"/>
    <w:sectPr w:rsidR="007C6FF3" w:rsidSect="009506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F3C"/>
    <w:multiLevelType w:val="multilevel"/>
    <w:tmpl w:val="E900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58"/>
    <w:rsid w:val="007C6FF3"/>
    <w:rsid w:val="00950658"/>
    <w:rsid w:val="00B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50658"/>
  </w:style>
  <w:style w:type="character" w:styleId="a3">
    <w:name w:val="Hyperlink"/>
    <w:basedOn w:val="a0"/>
    <w:uiPriority w:val="99"/>
    <w:semiHidden/>
    <w:unhideWhenUsed/>
    <w:rsid w:val="009506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06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06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06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06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th">
    <w:name w:val="path"/>
    <w:basedOn w:val="a0"/>
    <w:rsid w:val="00950658"/>
  </w:style>
  <w:style w:type="paragraph" w:styleId="a4">
    <w:name w:val="Balloon Text"/>
    <w:basedOn w:val="a"/>
    <w:link w:val="a5"/>
    <w:uiPriority w:val="99"/>
    <w:semiHidden/>
    <w:unhideWhenUsed/>
    <w:rsid w:val="009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50658"/>
  </w:style>
  <w:style w:type="character" w:styleId="a3">
    <w:name w:val="Hyperlink"/>
    <w:basedOn w:val="a0"/>
    <w:uiPriority w:val="99"/>
    <w:semiHidden/>
    <w:unhideWhenUsed/>
    <w:rsid w:val="009506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06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06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06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06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th">
    <w:name w:val="path"/>
    <w:basedOn w:val="a0"/>
    <w:rsid w:val="00950658"/>
  </w:style>
  <w:style w:type="paragraph" w:styleId="a4">
    <w:name w:val="Balloon Text"/>
    <w:basedOn w:val="a"/>
    <w:link w:val="a5"/>
    <w:uiPriority w:val="99"/>
    <w:semiHidden/>
    <w:unhideWhenUsed/>
    <w:rsid w:val="009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678">
          <w:marLeft w:val="-6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581">
          <w:marLeft w:val="-672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30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5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98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3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17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8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173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999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souzvech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uzveche.ru/rss/" TargetMode="External"/><Relationship Id="rId12" Type="http://schemas.openxmlformats.org/officeDocument/2006/relationships/hyperlink" Target="http://souzveche.ru/news/list.php?number=135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ouzveche.ru/" TargetMode="External"/><Relationship Id="rId11" Type="http://schemas.openxmlformats.org/officeDocument/2006/relationships/hyperlink" Target="http://souzveche.ru/news/detail.php?ID=136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ouzveche.ru/news/detail.php?ID=13609&amp;print=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zveche.ru/" TargetMode="External"/><Relationship Id="rId14" Type="http://schemas.openxmlformats.org/officeDocument/2006/relationships/hyperlink" Target="http://souzveche.ru/news/list.php?subject=Obs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2012-10-30T15:36:00Z</dcterms:created>
  <dcterms:modified xsi:type="dcterms:W3CDTF">2012-10-30T15:40:00Z</dcterms:modified>
</cp:coreProperties>
</file>